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Music development plan summary:</w:t>
        <w:br w:type="textWrapping"/>
        <w:t xml:space="preserve">Stafford Leys Primary School Overview</w:t>
      </w:r>
    </w:p>
    <w:tbl>
      <w:tblPr>
        <w:tblStyle w:val="Table1"/>
        <w:tblW w:w="9486.0" w:type="dxa"/>
        <w:jc w:val="left"/>
        <w:tblLayout w:type="fixed"/>
        <w:tblLook w:val="0000"/>
      </w:tblPr>
      <w:tblGrid>
        <w:gridCol w:w="5524"/>
        <w:gridCol w:w="3962"/>
        <w:tblGridChange w:id="0">
          <w:tblGrid>
            <w:gridCol w:w="5524"/>
            <w:gridCol w:w="39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202</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to 202</w:t>
            </w:r>
            <w:r w:rsidDel="00000000" w:rsidR="00000000" w:rsidRPr="00000000">
              <w:rPr>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18/10/202</w:t>
            </w:r>
            <w:r w:rsidDel="00000000" w:rsidR="00000000" w:rsidRPr="00000000">
              <w:rPr>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18/10/202</w:t>
            </w:r>
            <w:r w:rsidDel="00000000" w:rsidR="00000000" w:rsidRPr="00000000">
              <w:rPr>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Kate Burrows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t xml:space="preserve">Andy Kitchen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Leicestershire Music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Name of other music education organisations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Junior Academy of Music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Leicester Cathedral Choir</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5">
      <w:pPr>
        <w:pStyle w:val="Heading2"/>
        <w:spacing w:before="600" w:lineRule="auto"/>
        <w:rPr/>
      </w:pPr>
      <w:bookmarkStart w:colFirst="0" w:colLast="0" w:name="_heading=h.30j0zll" w:id="1"/>
      <w:bookmarkEnd w:id="1"/>
      <w:r w:rsidDel="00000000" w:rsidR="00000000" w:rsidRPr="00000000">
        <w:rPr>
          <w:rtl w:val="0"/>
        </w:rPr>
        <w:t xml:space="preserve">Curriculum music</w:t>
      </w:r>
    </w:p>
    <w:p w:rsidR="00000000" w:rsidDel="00000000" w:rsidP="00000000" w:rsidRDefault="00000000" w:rsidRPr="00000000" w14:paraId="00000016">
      <w:pPr>
        <w:rPr/>
      </w:pPr>
      <w:r w:rsidDel="00000000" w:rsidR="00000000" w:rsidRPr="00000000">
        <w:rPr>
          <w:rtl w:val="0"/>
        </w:rPr>
        <w:t xml:space="preserve">This is about what we teach in lesson time, how much time is spent teaching music and any music qualifications or awards.</w:t>
      </w:r>
    </w:p>
    <w:tbl>
      <w:tblPr>
        <w:tblStyle w:val="Table2"/>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spacing w:after="120" w:before="120" w:lineRule="auto"/>
              <w:rPr>
                <w:color w:val="000000"/>
              </w:rPr>
            </w:pPr>
            <w:r w:rsidDel="00000000" w:rsidR="00000000" w:rsidRPr="00000000">
              <w:rPr>
                <w:color w:val="000000"/>
                <w:rtl w:val="0"/>
              </w:rPr>
              <w:t xml:space="preserve">Stafford Leys is a Lead School for Music for Leicestershire and has the Gold Quality Mark for music provision.</w:t>
            </w:r>
          </w:p>
          <w:p w:rsidR="00000000" w:rsidDel="00000000" w:rsidP="00000000" w:rsidRDefault="00000000" w:rsidRPr="00000000" w14:paraId="00000018">
            <w:pPr>
              <w:spacing w:after="120" w:before="120" w:lineRule="auto"/>
              <w:rPr/>
            </w:pPr>
            <w:r w:rsidDel="00000000" w:rsidR="00000000" w:rsidRPr="00000000">
              <w:rPr>
                <w:rtl w:val="0"/>
              </w:rPr>
              <w:t xml:space="preserve">An average of 90 minutes of music is taught each week to all children across the school. The curriculum is a bespoke scheme of work created for Stafford Leys to reflect the social, cultural and educational needs of its children and staff.</w:t>
            </w:r>
          </w:p>
          <w:p w:rsidR="00000000" w:rsidDel="00000000" w:rsidP="00000000" w:rsidRDefault="00000000" w:rsidRPr="00000000" w14:paraId="00000019">
            <w:pPr>
              <w:spacing w:after="120" w:before="120" w:lineRule="auto"/>
              <w:rPr/>
            </w:pPr>
            <w:r w:rsidDel="00000000" w:rsidR="00000000" w:rsidRPr="00000000">
              <w:rPr>
                <w:rtl w:val="0"/>
              </w:rPr>
              <w:t xml:space="preserve">This music curriculum is informed by the following DfE publications: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The Power of Music to Change Lives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the National Plan for Music Education in England 2022-2030</w:t>
            </w:r>
          </w:p>
          <w:p w:rsidR="00000000" w:rsidDel="00000000" w:rsidP="00000000" w:rsidRDefault="00000000" w:rsidRPr="00000000" w14:paraId="0000001B">
            <w:pPr>
              <w:keepNext w:val="0"/>
              <w:keepLines w:val="0"/>
              <w:pageBreakBefore w:val="0"/>
              <w:widowControl w:val="1"/>
              <w:pBdr>
                <w:top w:color="ffffff" w:space="0" w:sz="8"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The DofE Model Music Curriculum (March 2021)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color="ffffff" w:space="0" w:sz="8"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Ofsted’s Striking the Right Note - the music subject report (2023)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spacing w:after="120" w:before="120" w:lineRule="auto"/>
              <w:rPr/>
            </w:pPr>
            <w:r w:rsidDel="00000000" w:rsidR="00000000" w:rsidRPr="00000000">
              <w:rPr>
                <w:rtl w:val="0"/>
              </w:rPr>
            </w:r>
          </w:p>
          <w:p w:rsidR="00000000" w:rsidDel="00000000" w:rsidP="00000000" w:rsidRDefault="00000000" w:rsidRPr="00000000" w14:paraId="0000001E">
            <w:pPr>
              <w:spacing w:after="120" w:before="120" w:lineRule="auto"/>
              <w:rPr/>
            </w:pPr>
            <w:r w:rsidDel="00000000" w:rsidR="00000000" w:rsidRPr="00000000">
              <w:rPr>
                <w:rtl w:val="0"/>
              </w:rPr>
              <w:t xml:space="preserve">All of our pupils are taught how to listen to and appreciate music from a range of genres that reflect our school’s social and cultural heritage. </w:t>
            </w:r>
          </w:p>
          <w:p w:rsidR="00000000" w:rsidDel="00000000" w:rsidP="00000000" w:rsidRDefault="00000000" w:rsidRPr="00000000" w14:paraId="0000001F">
            <w:pPr>
              <w:spacing w:after="120" w:before="120" w:lineRule="auto"/>
              <w:rPr>
                <w:color w:val="000000"/>
              </w:rPr>
            </w:pPr>
            <w:r w:rsidDel="00000000" w:rsidR="00000000" w:rsidRPr="00000000">
              <w:rPr>
                <w:color w:val="000000"/>
                <w:rtl w:val="0"/>
              </w:rPr>
              <w:t xml:space="preserve">All children access singing coaching and opportunities to learn to play instruments throughout their time at the school. This includes whole class tuition of ocarina, tabla and bodhran and individual and small group instrumental tuition in keyboard, drums, guitar and indian tabla. </w:t>
            </w:r>
          </w:p>
          <w:p w:rsidR="00000000" w:rsidDel="00000000" w:rsidP="00000000" w:rsidRDefault="00000000" w:rsidRPr="00000000" w14:paraId="00000020">
            <w:pPr>
              <w:spacing w:after="120" w:before="120" w:lineRule="auto"/>
              <w:rPr>
                <w:color w:val="000000"/>
              </w:rPr>
            </w:pPr>
            <w:r w:rsidDel="00000000" w:rsidR="00000000" w:rsidRPr="00000000">
              <w:rPr>
                <w:color w:val="000000"/>
                <w:rtl w:val="0"/>
              </w:rPr>
              <w:t xml:space="preserve">Every year, children are taught the skills required to compose and record their own musical creations.</w:t>
            </w:r>
          </w:p>
          <w:p w:rsidR="00000000" w:rsidDel="00000000" w:rsidP="00000000" w:rsidRDefault="00000000" w:rsidRPr="00000000" w14:paraId="00000021">
            <w:pPr>
              <w:spacing w:after="120" w:before="120" w:lineRule="auto"/>
              <w:rPr/>
            </w:pPr>
            <w:r w:rsidDel="00000000" w:rsidR="00000000" w:rsidRPr="00000000">
              <w:rPr>
                <w:rtl w:val="0"/>
              </w:rPr>
            </w:r>
          </w:p>
        </w:tc>
      </w:tr>
    </w:tbl>
    <w:p w:rsidR="00000000" w:rsidDel="00000000" w:rsidP="00000000" w:rsidRDefault="00000000" w:rsidRPr="00000000" w14:paraId="00000022">
      <w:pPr>
        <w:pStyle w:val="Heading2"/>
        <w:spacing w:before="600" w:lineRule="auto"/>
        <w:rPr/>
      </w:pPr>
      <w:bookmarkStart w:colFirst="0" w:colLast="0" w:name="_heading=h.1fob9te" w:id="2"/>
      <w:bookmarkEnd w:id="2"/>
      <w:r w:rsidDel="00000000" w:rsidR="00000000" w:rsidRPr="00000000">
        <w:rPr>
          <w:rtl w:val="0"/>
        </w:rPr>
        <w:t xml:space="preserve">Music tuition, choirs and ensembles</w:t>
      </w:r>
    </w:p>
    <w:p w:rsidR="00000000" w:rsidDel="00000000" w:rsidP="00000000" w:rsidRDefault="00000000" w:rsidRPr="00000000" w14:paraId="00000023">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tbl>
      <w:tblPr>
        <w:tblStyle w:val="Table3"/>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4">
            <w:pPr>
              <w:spacing w:after="120" w:before="120" w:lineRule="auto"/>
              <w:rPr>
                <w:color w:val="000000"/>
              </w:rPr>
            </w:pPr>
            <w:r w:rsidDel="00000000" w:rsidR="00000000" w:rsidRPr="00000000">
              <w:rPr>
                <w:color w:val="000000"/>
                <w:rtl w:val="0"/>
              </w:rPr>
              <w:t xml:space="preserve">Children at our school have the opportunity to take part in the lunchtime KS1 and KS2 choirs throughout the school year. The school choir participates in Young Voices (a massed choir event at Birmingham Arena) as well as putting on concerts for parents and singing at the school fete and the local residential care home. These opportunities are free excepting Young Voices which is heavily subsidised by the PFA.</w:t>
            </w:r>
          </w:p>
          <w:p w:rsidR="00000000" w:rsidDel="00000000" w:rsidP="00000000" w:rsidRDefault="00000000" w:rsidRPr="00000000" w14:paraId="00000025">
            <w:pPr>
              <w:spacing w:after="120" w:before="120" w:lineRule="auto"/>
              <w:rPr>
                <w:color w:val="000000"/>
              </w:rPr>
            </w:pPr>
            <w:r w:rsidDel="00000000" w:rsidR="00000000" w:rsidRPr="00000000">
              <w:rPr>
                <w:color w:val="000000"/>
                <w:rtl w:val="0"/>
              </w:rPr>
              <w:t xml:space="preserve">Stafford Leys works with Leicester Cathedral to provide our pupils with the opportunity to become part of the Leicester Cathedral Choir. Participation is free and funding is available to parents to help with transportation to and from the Cathedral for practices and services. Leicester Cathedral choristers have the opportunity to go on field trips abroad to sing with other choirs.</w:t>
            </w:r>
          </w:p>
          <w:p w:rsidR="00000000" w:rsidDel="00000000" w:rsidP="00000000" w:rsidRDefault="00000000" w:rsidRPr="00000000" w14:paraId="00000026">
            <w:pPr>
              <w:spacing w:after="120" w:before="120" w:lineRule="auto"/>
              <w:rPr/>
            </w:pPr>
            <w:r w:rsidDel="00000000" w:rsidR="00000000" w:rsidRPr="00000000">
              <w:rPr>
                <w:color w:val="000000"/>
                <w:rtl w:val="0"/>
              </w:rPr>
              <w:t xml:space="preserve">We also work closely with the Junior Academy of Music to provide group ensemble and live performance opportunities for our pupils including a summer concert.</w:t>
            </w:r>
            <w:r w:rsidDel="00000000" w:rsidR="00000000" w:rsidRPr="00000000">
              <w:rPr>
                <w:rtl w:val="0"/>
              </w:rPr>
            </w:r>
          </w:p>
          <w:p w:rsidR="00000000" w:rsidDel="00000000" w:rsidP="00000000" w:rsidRDefault="00000000" w:rsidRPr="00000000" w14:paraId="00000027">
            <w:pPr>
              <w:spacing w:after="120" w:before="120" w:lineRule="auto"/>
              <w:rPr/>
            </w:pPr>
            <w:r w:rsidDel="00000000" w:rsidR="00000000" w:rsidRPr="00000000">
              <w:rPr>
                <w:rtl w:val="0"/>
              </w:rPr>
              <w:t xml:space="preserve">Children at our school can learn to play the following instruments during school time in small groups or 1:1 lessons. These lessons are paid for by parents but are generally more affordable than private music tuition offered by private tutors. Subsidies are available – please speak to The School Office.</w:t>
            </w:r>
          </w:p>
          <w:p w:rsidR="00000000" w:rsidDel="00000000" w:rsidP="00000000" w:rsidRDefault="00000000" w:rsidRPr="00000000" w14:paraId="00000028">
            <w:pPr>
              <w:spacing w:after="120" w:before="120" w:lineRule="auto"/>
              <w:rPr/>
            </w:pPr>
            <w:r w:rsidDel="00000000" w:rsidR="00000000" w:rsidRPr="00000000">
              <w:rPr>
                <w:rtl w:val="0"/>
              </w:rPr>
              <w:t xml:space="preserve">Guitar</w:t>
            </w:r>
          </w:p>
          <w:p w:rsidR="00000000" w:rsidDel="00000000" w:rsidP="00000000" w:rsidRDefault="00000000" w:rsidRPr="00000000" w14:paraId="00000029">
            <w:pPr>
              <w:spacing w:after="120" w:before="120" w:lineRule="auto"/>
              <w:rPr/>
            </w:pPr>
            <w:r w:rsidDel="00000000" w:rsidR="00000000" w:rsidRPr="00000000">
              <w:rPr>
                <w:rtl w:val="0"/>
              </w:rPr>
              <w:t xml:space="preserve">Keyboard</w:t>
            </w:r>
          </w:p>
          <w:p w:rsidR="00000000" w:rsidDel="00000000" w:rsidP="00000000" w:rsidRDefault="00000000" w:rsidRPr="00000000" w14:paraId="0000002A">
            <w:pPr>
              <w:spacing w:after="120" w:before="120" w:lineRule="auto"/>
              <w:rPr/>
            </w:pPr>
            <w:r w:rsidDel="00000000" w:rsidR="00000000" w:rsidRPr="00000000">
              <w:rPr>
                <w:rtl w:val="0"/>
              </w:rPr>
              <w:t xml:space="preserve">Drums </w:t>
            </w:r>
          </w:p>
          <w:p w:rsidR="00000000" w:rsidDel="00000000" w:rsidP="00000000" w:rsidRDefault="00000000" w:rsidRPr="00000000" w14:paraId="0000002B">
            <w:pPr>
              <w:spacing w:after="120" w:before="120" w:lineRule="auto"/>
              <w:rPr/>
            </w:pPr>
            <w:r w:rsidDel="00000000" w:rsidR="00000000" w:rsidRPr="00000000">
              <w:rPr>
                <w:rtl w:val="0"/>
              </w:rPr>
              <w:t xml:space="preserve">Indian Tabla</w:t>
            </w:r>
          </w:p>
          <w:p w:rsidR="00000000" w:rsidDel="00000000" w:rsidP="00000000" w:rsidRDefault="00000000" w:rsidRPr="00000000" w14:paraId="0000002C">
            <w:pPr>
              <w:spacing w:after="120" w:before="120" w:lineRule="auto"/>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has a music studio where instruments are housed and instrumental music lessons take place. It is also a space where children can compose and rehearse.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Choirs rehearse in the Community Hall and Small Hall owing to the size of the choirs.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hires tabla for Year 4 Indian Music Composition strand of the curriculum.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Brass instruments are hired when Leicestershire Music Services are engaged to provide an ensemble club for our Pupil Premium children.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range of tuned and non-tuned instruments are owned by the school from a range of cultures including class sets of ocarinas, boomwhackers, samba ensemble instruments and bodhran.</w:t>
            </w:r>
          </w:p>
          <w:p w:rsidR="00000000" w:rsidDel="00000000" w:rsidP="00000000" w:rsidRDefault="00000000" w:rsidRPr="00000000" w14:paraId="00000033">
            <w:pPr>
              <w:spacing w:after="120" w:before="120" w:lineRule="auto"/>
              <w:rPr/>
            </w:pPr>
            <w:r w:rsidDel="00000000" w:rsidR="00000000" w:rsidRPr="00000000">
              <w:rPr>
                <w:rtl w:val="0"/>
              </w:rPr>
            </w:r>
          </w:p>
        </w:tc>
      </w:tr>
    </w:tbl>
    <w:p w:rsidR="00000000" w:rsidDel="00000000" w:rsidP="00000000" w:rsidRDefault="00000000" w:rsidRPr="00000000" w14:paraId="00000034">
      <w:pPr>
        <w:pStyle w:val="Heading2"/>
        <w:spacing w:before="600" w:lineRule="auto"/>
        <w:rPr/>
      </w:pPr>
      <w:r w:rsidDel="00000000" w:rsidR="00000000" w:rsidRPr="00000000">
        <w:rPr>
          <w:rtl w:val="0"/>
        </w:rPr>
        <w:t xml:space="preserve">Musical experiences</w:t>
      </w:r>
    </w:p>
    <w:p w:rsidR="00000000" w:rsidDel="00000000" w:rsidP="00000000" w:rsidRDefault="00000000" w:rsidRPr="00000000" w14:paraId="00000035">
      <w:pPr>
        <w:rPr/>
      </w:pPr>
      <w:r w:rsidDel="00000000" w:rsidR="00000000" w:rsidRPr="00000000">
        <w:rPr>
          <w:rtl w:val="0"/>
        </w:rPr>
        <w:t xml:space="preserve">This is about all the other musical events and opportunities that we organise, such as singing in assembly, concerts and shows, and trips to professional concerts.</w:t>
      </w:r>
    </w:p>
    <w:tbl>
      <w:tblPr>
        <w:tblStyle w:val="Table4"/>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children take part in a 30 minute whole school singing coaching assembly every Friday led by the Music Lead and Head Teacher. Singing assemblies are taught in exactly the same way as any other lesson would be taught with progression planned in conjunction with weekly reflections between the Music Lead and Head Teacher.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coaching links to the singing expectations of the Model Music Curriculum.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 expectations are in place for all singing including full participation from children. Adults in school sing regularly through staff choir performances and singing projects such as our Year 6 performance, Year 2 Christmas community singing and Year 4 singing concert.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 the years, Stafford Leys has engaged with a number of music groups and performers including a local bellringing society, jazz band, Indian sitar and tabla group, local rock band etc.</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intention is to bring live music to the whole school and inspire our children to go and listen to live performances and aspire to become performers.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funds these initiatives.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spacing w:after="120" w:before="120" w:lineRule="auto"/>
              <w:rPr/>
            </w:pPr>
            <w:r w:rsidDel="00000000" w:rsidR="00000000" w:rsidRPr="00000000">
              <w:rPr>
                <w:color w:val="000000"/>
                <w:rtl w:val="0"/>
              </w:rPr>
              <w:t xml:space="preserve">In addition, our pupils attend annually a live performance of a pantomime in a local theatre.</w:t>
            </w:r>
            <w:r w:rsidDel="00000000" w:rsidR="00000000" w:rsidRPr="00000000">
              <w:rPr>
                <w:rtl w:val="0"/>
              </w:rPr>
            </w:r>
          </w:p>
        </w:tc>
      </w:tr>
    </w:tbl>
    <w:p w:rsidR="00000000" w:rsidDel="00000000" w:rsidP="00000000" w:rsidRDefault="00000000" w:rsidRPr="00000000" w14:paraId="00000041">
      <w:pPr>
        <w:pStyle w:val="Heading2"/>
        <w:tabs>
          <w:tab w:val="left" w:leader="none" w:pos="8034"/>
        </w:tabs>
        <w:spacing w:before="600" w:lineRule="auto"/>
        <w:rPr/>
      </w:pPr>
      <w:r w:rsidDel="00000000" w:rsidR="00000000" w:rsidRPr="00000000">
        <w:rPr>
          <w:rtl w:val="0"/>
        </w:rPr>
        <w:t xml:space="preserve">In the future</w:t>
      </w:r>
    </w:p>
    <w:p w:rsidR="00000000" w:rsidDel="00000000" w:rsidP="00000000" w:rsidRDefault="00000000" w:rsidRPr="00000000" w14:paraId="00000042">
      <w:pPr>
        <w:rPr/>
      </w:pPr>
      <w:r w:rsidDel="00000000" w:rsidR="00000000" w:rsidRPr="00000000">
        <w:rPr>
          <w:rtl w:val="0"/>
        </w:rPr>
        <w:t xml:space="preserve">This is about what the school is planning for subsequent years.</w:t>
      </w:r>
    </w:p>
    <w:tbl>
      <w:tblPr>
        <w:tblStyle w:val="Table5"/>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Stafford Leys School is excited by the prospect of being a Lead School for Music and the opportunities this will provide for our staff and children to work with other schools in the county to share each others’ ideas and expertise in music provision for primary schools.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Music is part of our nurture offering and a number of our parents have chosen the school for children with SEND because of our music offering. We plan to build on this by providing lunchtime clubs that are designed to support our children with ELSA.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bookmarkStart w:colFirst="0" w:colLast="0" w:name="_heading=h.3znysh7" w:id="3"/>
            <w:bookmarkEnd w:id="3"/>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We plan to widen our offering of instrumental tuition to include brass and woodwind instruments.</w:t>
            </w:r>
          </w:p>
        </w:tc>
      </w:tr>
    </w:tbl>
    <w:p w:rsidR="00000000" w:rsidDel="00000000" w:rsidP="00000000" w:rsidRDefault="00000000" w:rsidRPr="00000000" w14:paraId="00000046">
      <w:pPr>
        <w:pStyle w:val="Heading2"/>
        <w:spacing w:before="600" w:lineRule="auto"/>
        <w:rPr/>
      </w:pPr>
      <w:r w:rsidDel="00000000" w:rsidR="00000000" w:rsidRPr="00000000">
        <w:rPr>
          <w:rtl w:val="0"/>
        </w:rPr>
        <w:t xml:space="preserve">Further information </w:t>
      </w:r>
    </w:p>
    <w:tbl>
      <w:tblPr>
        <w:tblStyle w:val="Table6"/>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120" w:before="120" w:lineRule="auto"/>
              <w:rPr/>
            </w:pPr>
            <w:r w:rsidDel="00000000" w:rsidR="00000000" w:rsidRPr="00000000">
              <w:rPr>
                <w:rtl w:val="0"/>
              </w:rPr>
              <w:t xml:space="preserve">Stafford Leys Whole School Music Curriculum</w:t>
            </w:r>
          </w:p>
          <w:p w:rsidR="00000000" w:rsidDel="00000000" w:rsidP="00000000" w:rsidRDefault="00000000" w:rsidRPr="00000000" w14:paraId="00000048">
            <w:pPr>
              <w:spacing w:after="120" w:before="120" w:lineRule="auto"/>
              <w:rPr/>
            </w:pPr>
            <w:hyperlink r:id="rId8">
              <w:r w:rsidDel="00000000" w:rsidR="00000000" w:rsidRPr="00000000">
                <w:rPr>
                  <w:rFonts w:ascii="Arial" w:cs="Arial" w:eastAsia="Arial" w:hAnsi="Arial"/>
                  <w:color w:val="1155cc"/>
                  <w:sz w:val="24"/>
                  <w:szCs w:val="24"/>
                  <w:u w:val="single"/>
                  <w:rtl w:val="0"/>
                </w:rPr>
                <w:t xml:space="preserve">https://docs.google.com/document/d/1oAo1ohRnaUOkyNqkQRkGxL0aWw3YIOMHIRRqBBZ4PvE/edit</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Stafford Leys Whole School Curriculum Progression Map</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(based on Model Music Curriculum)</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https://docs.google.com/document/d/18_V6_gxJKL5uhnnI0lW0nzPioHiDn5nU9mqKSPxKTzo/edit</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Stafford Leys Singing Strategy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https://docs.google.com/document/d/16cGUd0le8fQzfZhb6aCd4WM9OoLxtnZv/edit</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Leicester Cathedral Choir: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https://leicestercathedral.org/music</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Junior Academy of Music:</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https://junioracademyofmusic.co.uk/</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Leicestershire Music Tabla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https://leicestershiremusichub.org/tabla-hire</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Leicestershire Music contacts</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Leicestershire Music School Support</w:t>
              </w:r>
            </w:hyperlink>
            <w:r w:rsidDel="00000000" w:rsidR="00000000" w:rsidRPr="00000000">
              <w:rPr>
                <w:rtl w:val="0"/>
              </w:rPr>
            </w:r>
          </w:p>
          <w:p w:rsidR="00000000" w:rsidDel="00000000" w:rsidP="00000000" w:rsidRDefault="00000000" w:rsidRPr="00000000" w14:paraId="0000005B">
            <w:pPr>
              <w:spacing w:after="120" w:before="120" w:lineRule="auto"/>
              <w:rPr/>
            </w:pPr>
            <w:r w:rsidDel="00000000" w:rsidR="00000000" w:rsidRPr="00000000">
              <w:rPr>
                <w:rtl w:val="0"/>
              </w:rPr>
            </w:r>
          </w:p>
          <w:p w:rsidR="00000000" w:rsidDel="00000000" w:rsidP="00000000" w:rsidRDefault="00000000" w:rsidRPr="00000000" w14:paraId="0000005C">
            <w:pPr>
              <w:spacing w:after="120" w:before="120" w:lineRule="auto"/>
              <w:rPr/>
            </w:pPr>
            <w:r w:rsidDel="00000000" w:rsidR="00000000" w:rsidRPr="00000000">
              <w:rPr>
                <w:rtl w:val="0"/>
              </w:rPr>
              <w:t xml:space="preserve">The Department for Education publishes a </w:t>
            </w:r>
            <w:hyperlink r:id="rId16">
              <w:r w:rsidDel="00000000" w:rsidR="00000000" w:rsidRPr="00000000">
                <w:rPr>
                  <w:rFonts w:ascii="Arial" w:cs="Arial" w:eastAsia="Arial" w:hAnsi="Arial"/>
                  <w:color w:val="0000ff"/>
                  <w:sz w:val="24"/>
                  <w:szCs w:val="24"/>
                  <w:u w:val="single"/>
                  <w:rtl w:val="0"/>
                </w:rPr>
                <w:t xml:space="preserve">guide for parents and young people</w:t>
              </w:r>
            </w:hyperlink>
            <w:r w:rsidDel="00000000" w:rsidR="00000000" w:rsidRPr="00000000">
              <w:rPr>
                <w:rtl w:val="0"/>
              </w:rPr>
              <w:t xml:space="preserve"> on how they can get involved in music in and out of school, and where they can go to for support beyond the school. </w:t>
            </w:r>
          </w:p>
          <w:p w:rsidR="00000000" w:rsidDel="00000000" w:rsidP="00000000" w:rsidRDefault="00000000" w:rsidRPr="00000000" w14:paraId="0000005D">
            <w:pPr>
              <w:spacing w:after="120" w:before="120" w:lineRule="auto"/>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headerReference r:id="rId17" w:type="default"/>
      <w:footerReference r:id="rId1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semiHidden w:val="1"/>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4" w:customStyle="1">
    <w:name w:val="WW_OutlineListStyle_4"/>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8"/>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val="1"/>
    </w:pPr>
  </w:style>
  <w:style w:type="paragraph" w:styleId="ListParagraph">
    <w:name w:val="List Paragraph"/>
    <w:basedOn w:val="Normal"/>
    <w:pPr>
      <w:numPr>
        <w:numId w:val="11"/>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val="1"/>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color="auto" w:fill="e1dfdd" w:val="clear"/>
    </w:rPr>
  </w:style>
  <w:style w:type="paragraph" w:styleId="Revision">
    <w:name w:val="Revision"/>
    <w:rPr>
      <w:color w:val="0d0d0d"/>
      <w:sz w:val="24"/>
      <w:szCs w:val="24"/>
    </w:rPr>
  </w:style>
  <w:style w:type="character" w:styleId="Mention" w:customStyle="1">
    <w:name w:val="Mention"/>
    <w:basedOn w:val="DefaultParagraphFont"/>
    <w:rPr>
      <w:color w:val="2b579a"/>
      <w:shd w:color="auto" w:fill="e1dfdd" w:val="clear"/>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paragraph" w:styleId="NormalWeb">
    <w:name w:val="Normal (Web)"/>
    <w:basedOn w:val="Normal"/>
    <w:uiPriority w:val="99"/>
    <w:semiHidden w:val="1"/>
    <w:unhideWhenUsed w:val="1"/>
    <w:rsid w:val="00EC5E39"/>
    <w:pPr>
      <w:suppressAutoHyphens w:val="0"/>
      <w:autoSpaceDN w:val="1"/>
      <w:spacing w:after="100" w:afterAutospacing="1" w:before="100" w:beforeAutospacing="1" w:line="240" w:lineRule="auto"/>
    </w:pPr>
    <w:rPr>
      <w:rFonts w:ascii="Times New Roman" w:hAnsi="Times New Roman"/>
      <w:color w:val="auto"/>
    </w:rPr>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icestercathedral.org/music" TargetMode="External"/><Relationship Id="rId10" Type="http://schemas.openxmlformats.org/officeDocument/2006/relationships/hyperlink" Target="https://docs.google.com/document/d/16cGUd0le8fQzfZhb6aCd4WM9OoLxtnZv/edit" TargetMode="External"/><Relationship Id="rId13" Type="http://schemas.openxmlformats.org/officeDocument/2006/relationships/hyperlink" Target="https://leicestershiremusichub.org/tabla-hire" TargetMode="External"/><Relationship Id="rId12" Type="http://schemas.openxmlformats.org/officeDocument/2006/relationships/hyperlink" Target="https://junioracademyofmusic.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8_V6_gxJKL5uhnnI0lW0nzPioHiDn5nU9mqKSPxKTzo/edit" TargetMode="External"/><Relationship Id="rId15" Type="http://schemas.openxmlformats.org/officeDocument/2006/relationships/hyperlink" Target="https://leicestershiremusichub.org/schools" TargetMode="External"/><Relationship Id="rId14" Type="http://schemas.openxmlformats.org/officeDocument/2006/relationships/hyperlink" Target="https://leicestershiremusichub.org/meet-the-team" TargetMode="External"/><Relationship Id="rId17" Type="http://schemas.openxmlformats.org/officeDocument/2006/relationships/header" Target="header1.xml"/><Relationship Id="rId16" Type="http://schemas.openxmlformats.org/officeDocument/2006/relationships/hyperlink" Target="https://www.gov.uk/government/publications/music-education-information-for-parents-and-young-people"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gov.uk/government/publications/the-power-of-music-to-change-lives-a-national-plan-for-music-education" TargetMode="External"/><Relationship Id="rId8" Type="http://schemas.openxmlformats.org/officeDocument/2006/relationships/hyperlink" Target="https://docs.google.com/document/d/1oAo1ohRnaUOkyNqkQRkGxL0aWw3YIOMHIRRqBBZ4PvE/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S0X9hq3Hdm3oCJGMc875Yh+6g==">CgMxLjAyCGguZ2pkZ3hzMgloLjMwajB6bGwyCWguMWZvYjl0ZTIJaC4zem55c2g3OAByITEtWjhYQ0xTS3h0UGlZeUNwUTRXUG05RVpHWVNXeTlKYg==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2024-10-18T13:45:00Z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MediaServiceImageTags</vt:lpwstr>
  </property>
</Properties>
</file>